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3610"/>
        <w:gridCol w:w="1480"/>
        <w:gridCol w:w="1597"/>
        <w:gridCol w:w="1194"/>
        <w:gridCol w:w="960"/>
      </w:tblGrid>
      <w:tr w:rsidR="001B4DE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2019/20 </w:t>
            </w:r>
          </w:p>
        </w:tc>
        <w:tc>
          <w:tcPr>
            <w:tcW w:w="154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1B4DE9">
            <w:pPr>
              <w:tabs>
                <w:tab w:val="left" w:pos="0"/>
              </w:tabs>
              <w:jc w:val="center"/>
            </w:pP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1B4DE9">
            <w:pPr>
              <w:tabs>
                <w:tab w:val="left" w:pos="0"/>
              </w:tabs>
              <w:jc w:val="center"/>
            </w:pP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7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Nazwa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Podstawy matematyki</w:t>
            </w:r>
          </w:p>
        </w:tc>
        <w:tc>
          <w:tcPr>
            <w:tcW w:w="1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2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  <w:tab w:val="left" w:pos="6592"/>
              </w:tabs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Elementary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mathematics</w:t>
            </w:r>
            <w:proofErr w:type="spellEnd"/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Pedagogika 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dr  Piotr Stachura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dr  Piotr Stachura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Katedra Zastosowań Matematyki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…………specjaliz</w:t>
            </w:r>
            <w:r>
              <w:rPr>
                <w:rFonts w:ascii="Arial" w:hAnsi="Arial" w:cs="Arial"/>
                <w:bCs/>
                <w:sz w:val="16"/>
                <w:szCs w:val="16"/>
              </w:rPr>
              <w:t>acyjny…………….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   rok III</w:t>
            </w:r>
          </w:p>
        </w:tc>
        <w:tc>
          <w:tcPr>
            <w:tcW w:w="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 V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1B4DE9">
            <w:pPr>
              <w:tabs>
                <w:tab w:val="left" w:pos="0"/>
              </w:tabs>
            </w:pP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Pierrwszym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celem wykładu jest pogłębienie  wiadomości z matematyki elementarnej potrzebnych na etapie nauczania początkowego oraz zapoznanie z elementami metodyki edukacji matematycznej. Drugim, równie ważnym, jest  przedstawienie znaczenia matematyki dla </w:t>
            </w:r>
            <w:r>
              <w:rPr>
                <w:rFonts w:ascii="Arial" w:hAnsi="Arial" w:cs="Arial"/>
                <w:sz w:val="16"/>
                <w:szCs w:val="16"/>
              </w:rPr>
              <w:t>naukowego poznawania świata oraz jako czynnika kształtującego współczesną cywilizację. Ponadto, kształtowanie nawyków racjonalnej analizy sytuacji problemowych, umiejętności praktycznego wykorzystania narzędzi matematycznych i logicznych, stawiania hipotez</w:t>
            </w:r>
            <w:r>
              <w:rPr>
                <w:rFonts w:ascii="Arial" w:hAnsi="Arial" w:cs="Arial"/>
                <w:sz w:val="16"/>
                <w:szCs w:val="16"/>
              </w:rPr>
              <w:t xml:space="preserve"> i ich weryfikacji oraz  stosowania niezawodnych reguł wnioskowania, wyprowadzonych z reguł logiki zdań i stanowiących niezbywalny fundament  matematycznego myślenia. 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numPr>
                <w:ilvl w:val="0"/>
                <w:numId w:val="1"/>
              </w:numPr>
              <w:tabs>
                <w:tab w:val="left" w:pos="1178"/>
                <w:tab w:val="left" w:pos="1410"/>
                <w:tab w:val="left" w:pos="1648"/>
                <w:tab w:val="left" w:pos="1880"/>
              </w:tabs>
              <w:ind w:left="470" w:firstLine="0"/>
            </w:pPr>
            <w:r>
              <w:rPr>
                <w:rFonts w:ascii="Arial" w:hAnsi="Arial" w:cs="Arial"/>
                <w:sz w:val="16"/>
                <w:szCs w:val="16"/>
              </w:rPr>
              <w:t xml:space="preserve">Wykład ……………  liczba godzin:  15 </w:t>
            </w:r>
          </w:p>
          <w:p w:rsidR="001B4DE9" w:rsidRDefault="0008609F">
            <w:pPr>
              <w:numPr>
                <w:ilvl w:val="0"/>
                <w:numId w:val="1"/>
              </w:numPr>
              <w:tabs>
                <w:tab w:val="left" w:pos="1178"/>
                <w:tab w:val="left" w:pos="1410"/>
                <w:tab w:val="left" w:pos="1648"/>
                <w:tab w:val="left" w:pos="1880"/>
              </w:tabs>
              <w:ind w:left="470" w:firstLine="0"/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……          liczba godzin ..15 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Wykład, czynne uczestnictwo w zajęciach, udział w dyskusjach i analizie sytuacji problemowych, prezentacje.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Kształtowanie się i rozwój pojęć matematycznych i ich źródła w zagadnieniach praktycznych i wewnętrznej potrzebie abstrakcyjnego myślenia.  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matematyki w zakresie szkoły średniej. Elementy wiedzy o kształtowaniu się umiejętności myślenia logicznego u dziecka. </w:t>
            </w:r>
          </w:p>
          <w:p w:rsidR="001B4DE9" w:rsidRDefault="001B4DE9">
            <w:pPr>
              <w:tabs>
                <w:tab w:val="left" w:pos="0"/>
              </w:tabs>
              <w:jc w:val="both"/>
            </w:pP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01– zna fundamentalne pojęcia  używane  w logice, teorii mnogości, w szczególności pojęcia  funkcji i</w:t>
            </w:r>
            <w:r>
              <w:rPr>
                <w:rFonts w:ascii="Arial" w:hAnsi="Arial" w:cs="Arial"/>
                <w:sz w:val="16"/>
                <w:szCs w:val="16"/>
              </w:rPr>
              <w:t xml:space="preserve"> relacji;; posiada  elementarną umiejętności sprawdzania poprawności  wnioskowania i argumentacji. </w:t>
            </w:r>
          </w:p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02 –  zna podstawowe pojęcia arytmetyki, geometrii  i kombinatoryki,  posiada  umiejętność ich wyrażenia w sposób odwołujący się do działań praktycznych; </w:t>
            </w:r>
          </w:p>
        </w:tc>
        <w:tc>
          <w:tcPr>
            <w:tcW w:w="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3 – </w:t>
            </w:r>
            <w:r>
              <w:rPr>
                <w:rStyle w:val="FontStyle47"/>
                <w:rFonts w:ascii="Arial" w:hAnsi="Arial" w:cs="Arial"/>
                <w:color w:val="00000A"/>
              </w:rPr>
              <w:t>zna elementarną terminologię używaną w edukacji matematycznej</w:t>
            </w:r>
          </w:p>
          <w:p w:rsidR="001B4DE9" w:rsidRDefault="0008609F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04–  </w:t>
            </w:r>
            <w:r>
              <w:rPr>
                <w:rStyle w:val="FontStyle47"/>
                <w:rFonts w:ascii="Arial" w:hAnsi="Arial" w:cs="Arial"/>
                <w:color w:val="00000A"/>
              </w:rPr>
              <w:t>zna podstawowe teorie dotyczące  uczenia się i nauczania</w:t>
            </w:r>
            <w:r>
              <w:rPr>
                <w:rFonts w:ascii="Arial" w:hAnsi="Arial" w:cs="Arial"/>
                <w:sz w:val="16"/>
                <w:szCs w:val="16"/>
              </w:rPr>
              <w:t xml:space="preserve"> arytmetyki i geometrii</w:t>
            </w:r>
          </w:p>
          <w:p w:rsidR="001B4DE9" w:rsidRDefault="0008609F">
            <w:r>
              <w:rPr>
                <w:rFonts w:ascii="Arial" w:hAnsi="Arial" w:cs="Arial"/>
                <w:sz w:val="16"/>
                <w:szCs w:val="16"/>
              </w:rPr>
              <w:t>05 --</w:t>
            </w:r>
            <w:bookmarkStart w:id="1" w:name="__DdeLink__710_1129088329"/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posiada  umiejętności formułowania zagadnień praktycznych w języku matematyki i ich rozwiązywania.  </w:t>
            </w:r>
          </w:p>
          <w:p w:rsidR="001B4DE9" w:rsidRDefault="001B4DE9"/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Ustna prezentacja na temat  wybrany spośród zagadnień omawianych na zajęciach,  pisemne kolokwium  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Przekazanie w utrwalonej formie (pisemnej lub </w:t>
            </w:r>
            <w:r>
              <w:rPr>
                <w:rFonts w:ascii="Arial" w:hAnsi="Arial" w:cs="Arial"/>
                <w:sz w:val="16"/>
                <w:szCs w:val="16"/>
              </w:rPr>
              <w:t>elektronicznej) tekstu prezentacji, kolokwium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Aktywne uczestniczenie w zajęciach, zabieranie głosu w dyskusjach, prezentacja,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kolokwiumr</w:t>
            </w:r>
            <w:proofErr w:type="spellEnd"/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Sala wykładowa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Literatura podstawowa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Podstawowa:</w:t>
            </w:r>
          </w:p>
          <w:p w:rsidR="001B4DE9" w:rsidRDefault="0008609F">
            <w:pPr>
              <w:numPr>
                <w:ilvl w:val="0"/>
                <w:numId w:val="2"/>
              </w:num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Jerzy Nowik,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Edukacja matematyczna w kształceniu zintegrowanym</w:t>
            </w:r>
            <w:r>
              <w:rPr>
                <w:rFonts w:ascii="Arial" w:hAnsi="Arial" w:cs="Arial"/>
                <w:sz w:val="16"/>
                <w:szCs w:val="16"/>
              </w:rPr>
              <w:t>, PWSZ Racibórz, 2008.</w:t>
            </w:r>
          </w:p>
          <w:p w:rsidR="001B4DE9" w:rsidRDefault="0008609F">
            <w:pPr>
              <w:numPr>
                <w:ilvl w:val="0"/>
                <w:numId w:val="2"/>
              </w:num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Zbigniew.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Semadeni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(red.),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Nauczanie początkowe matematyki, </w:t>
            </w:r>
            <w:r>
              <w:rPr>
                <w:rFonts w:ascii="Arial" w:hAnsi="Arial" w:cs="Arial"/>
                <w:sz w:val="16"/>
                <w:szCs w:val="16"/>
              </w:rPr>
              <w:t xml:space="preserve"> WSiP, Warszawa, 1993.</w:t>
            </w:r>
          </w:p>
          <w:p w:rsidR="001B4DE9" w:rsidRDefault="0008609F">
            <w:pPr>
              <w:numPr>
                <w:ilvl w:val="0"/>
                <w:numId w:val="2"/>
              </w:num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Michał. Szurek,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Matematyka dla humanistów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RTW, </w:t>
            </w:r>
            <w:r>
              <w:rPr>
                <w:rFonts w:ascii="Arial" w:hAnsi="Arial" w:cs="Arial"/>
                <w:sz w:val="16"/>
                <w:szCs w:val="16"/>
              </w:rPr>
              <w:t>Warszawa 2000.</w:t>
            </w:r>
          </w:p>
          <w:p w:rsidR="001B4DE9" w:rsidRDefault="0008609F">
            <w:pPr>
              <w:numPr>
                <w:ilvl w:val="0"/>
                <w:numId w:val="2"/>
              </w:numPr>
              <w:tabs>
                <w:tab w:val="left" w:pos="0"/>
              </w:tabs>
            </w:pPr>
            <w:r>
              <w:rPr>
                <w:rStyle w:val="Numerstrony"/>
                <w:rFonts w:ascii="Arial" w:hAnsi="Arial" w:cs="Arial"/>
                <w:sz w:val="16"/>
                <w:szCs w:val="16"/>
              </w:rPr>
              <w:t xml:space="preserve">Barbara </w:t>
            </w:r>
            <w:r>
              <w:rPr>
                <w:rFonts w:ascii="Arial" w:hAnsi="Arial" w:cs="Arial"/>
                <w:sz w:val="16"/>
                <w:szCs w:val="16"/>
              </w:rPr>
              <w:t xml:space="preserve">Stanosz,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Ćwiczenia z logiki</w:t>
            </w:r>
            <w:r>
              <w:rPr>
                <w:rFonts w:ascii="Arial" w:hAnsi="Arial" w:cs="Arial"/>
                <w:sz w:val="16"/>
                <w:szCs w:val="16"/>
              </w:rPr>
              <w:t xml:space="preserve">,  PWN Warszawa 2008. </w:t>
            </w:r>
          </w:p>
          <w:p w:rsidR="001B4DE9" w:rsidRDefault="0008609F">
            <w:pPr>
              <w:numPr>
                <w:ilvl w:val="0"/>
                <w:numId w:val="2"/>
              </w:num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George</w:t>
            </w:r>
            <w:r>
              <w:rPr>
                <w:rStyle w:val="Numerstrony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 w:cs="Arial"/>
                <w:sz w:val="16"/>
                <w:szCs w:val="16"/>
              </w:rPr>
              <w:t>Polya</w:t>
            </w:r>
            <w:proofErr w:type="spellEnd"/>
            <w:r>
              <w:rPr>
                <w:rStyle w:val="Numerstrony"/>
                <w:rFonts w:ascii="Arial" w:hAnsi="Arial" w:cs="Arial"/>
                <w:sz w:val="16"/>
                <w:szCs w:val="16"/>
              </w:rPr>
              <w:t xml:space="preserve">, Odkrycie matematyczne.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 rozumieniu, uczeniu się i nauczaniu rozwiązywania zadań, WNT, Warszawa 1975 .</w:t>
            </w:r>
          </w:p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Uzupełniająca:</w:t>
            </w:r>
          </w:p>
          <w:p w:rsidR="001B4DE9" w:rsidRDefault="0008609F">
            <w:pPr>
              <w:numPr>
                <w:ilvl w:val="0"/>
                <w:numId w:val="2"/>
              </w:num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Bertrand Russell, Wstęp do filozofii matematyki, PW</w:t>
            </w:r>
            <w:r>
              <w:rPr>
                <w:rFonts w:ascii="Arial" w:hAnsi="Arial" w:cs="Arial"/>
                <w:sz w:val="16"/>
                <w:szCs w:val="16"/>
              </w:rPr>
              <w:t>N Warszawa, 1958</w:t>
            </w:r>
          </w:p>
          <w:p w:rsidR="001B4DE9" w:rsidRDefault="0008609F">
            <w:pPr>
              <w:numPr>
                <w:ilvl w:val="0"/>
                <w:numId w:val="2"/>
              </w:num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Ifrah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Dzieje liczby, czyli historia wielkiego wynalazku, </w:t>
            </w:r>
            <w:r>
              <w:rPr>
                <w:rFonts w:ascii="Arial" w:hAnsi="Arial" w:cs="Arial"/>
                <w:sz w:val="16"/>
                <w:szCs w:val="16"/>
              </w:rPr>
              <w:t>Ossolineum, Wrocław, 1990.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1B4DE9" w:rsidRDefault="001B4DE9">
      <w:pPr>
        <w:tabs>
          <w:tab w:val="left" w:pos="0"/>
        </w:tabs>
      </w:pPr>
    </w:p>
    <w:p w:rsidR="001B4DE9" w:rsidRDefault="0008609F">
      <w:pPr>
        <w:tabs>
          <w:tab w:val="left" w:pos="0"/>
        </w:tabs>
      </w:pPr>
      <w:r>
        <w:rPr>
          <w:rFonts w:ascii="Arial" w:hAnsi="Arial" w:cs="Arial"/>
          <w:sz w:val="16"/>
          <w:szCs w:val="16"/>
        </w:rPr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</w:p>
    <w:tbl>
      <w:tblPr>
        <w:tblW w:w="0" w:type="auto"/>
        <w:tblInd w:w="-12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7"/>
        <w:gridCol w:w="1701"/>
      </w:tblGrid>
      <w:tr w:rsidR="001B4D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  h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0.5 ECTS</w:t>
            </w:r>
          </w:p>
        </w:tc>
      </w:tr>
    </w:tbl>
    <w:p w:rsidR="001B4DE9" w:rsidRDefault="001B4DE9">
      <w:pPr>
        <w:tabs>
          <w:tab w:val="left" w:pos="0"/>
        </w:tabs>
      </w:pPr>
    </w:p>
    <w:p w:rsidR="001B4DE9" w:rsidRDefault="0008609F">
      <w:pPr>
        <w:tabs>
          <w:tab w:val="left" w:pos="0"/>
        </w:tabs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</w:p>
    <w:p w:rsidR="001B4DE9" w:rsidRDefault="001B4DE9">
      <w:pPr>
        <w:tabs>
          <w:tab w:val="left" w:pos="0"/>
        </w:tabs>
      </w:pPr>
    </w:p>
    <w:tbl>
      <w:tblPr>
        <w:tblW w:w="0" w:type="auto"/>
        <w:tblInd w:w="-1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4118"/>
        <w:gridCol w:w="3770"/>
      </w:tblGrid>
      <w:tr w:rsidR="001B4DE9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Style w:val="FontStyle47"/>
                <w:rFonts w:ascii="Arial" w:hAnsi="Arial" w:cs="Arial"/>
                <w:color w:val="00000A"/>
              </w:rPr>
              <w:t xml:space="preserve">zna fundamentalne pojęcia  używane  w logice, teorii mnogości, w szczególności pojęcia  funkcji i relacji;; posiada  elementarną umiejętności sprawdzania poprawności  wnioskowania i argumentacji. </w:t>
            </w:r>
            <w:r>
              <w:rPr>
                <w:rStyle w:val="FontStyle47"/>
                <w:rFonts w:ascii="Arial" w:hAnsi="Arial" w:cs="Arial"/>
                <w:color w:val="00000A"/>
              </w:rPr>
              <w:t>zna elementarną terminologię używaną w edukacji matematyczne</w:t>
            </w:r>
            <w:r>
              <w:rPr>
                <w:rStyle w:val="FontStyle47"/>
                <w:rFonts w:ascii="Arial" w:hAnsi="Arial" w:cs="Arial"/>
                <w:color w:val="00000A"/>
              </w:rPr>
              <w:t>j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K_W03, K_W14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Style w:val="FontStyle47"/>
                <w:rFonts w:ascii="Arial" w:hAnsi="Arial" w:cs="Arial"/>
                <w:color w:val="00000A"/>
              </w:rPr>
              <w:t xml:space="preserve">zna podstawowe pojęcia arytmetyki, geometrii  i kombinatoryki,  posiada  umiejętność ich wyrażenia w sposób odwołujący się do działań praktycznych;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K_W14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Style w:val="FontStyle47"/>
                <w:rFonts w:ascii="Arial" w:hAnsi="Arial" w:cs="Arial"/>
                <w:color w:val="00000A"/>
              </w:rPr>
              <w:t>zna elementarną terminologię używaną w edukacji matematycznej</w:t>
            </w:r>
          </w:p>
          <w:p w:rsidR="001B4DE9" w:rsidRDefault="001B4DE9">
            <w:pPr>
              <w:tabs>
                <w:tab w:val="left" w:pos="0"/>
              </w:tabs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K_W01;</w:t>
            </w: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04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  <w:jc w:val="both"/>
            </w:pPr>
            <w:r>
              <w:rPr>
                <w:rStyle w:val="FontStyle47"/>
                <w:rFonts w:ascii="Arial" w:hAnsi="Arial" w:cs="Arial"/>
                <w:color w:val="00000A"/>
              </w:rPr>
              <w:t xml:space="preserve">zna </w:t>
            </w:r>
            <w:r>
              <w:rPr>
                <w:rStyle w:val="FontStyle47"/>
                <w:rFonts w:ascii="Arial" w:hAnsi="Arial" w:cs="Arial"/>
                <w:color w:val="00000A"/>
              </w:rPr>
              <w:t>podstawowe teorie dotyczące  uczenia się i nauczania</w:t>
            </w:r>
            <w:r>
              <w:rPr>
                <w:rFonts w:ascii="Arial" w:hAnsi="Arial" w:cs="Arial"/>
                <w:sz w:val="16"/>
                <w:szCs w:val="16"/>
              </w:rPr>
              <w:t xml:space="preserve"> arytmetyki i geometrii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  <w:p w:rsidR="001B4DE9" w:rsidRDefault="001B4DE9">
            <w:pPr>
              <w:tabs>
                <w:tab w:val="left" w:pos="0"/>
              </w:tabs>
            </w:pPr>
          </w:p>
        </w:tc>
      </w:tr>
      <w:tr w:rsidR="001B4DE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05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posiada  umiejętności formułowania zagadnień praktycznych w języku matematyki i ich rozwiązywania. 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E9" w:rsidRDefault="0008609F">
            <w:pPr>
              <w:tabs>
                <w:tab w:val="left" w:pos="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K_W10</w:t>
            </w:r>
          </w:p>
        </w:tc>
      </w:tr>
    </w:tbl>
    <w:p w:rsidR="001B4DE9" w:rsidRDefault="001B4DE9">
      <w:pPr>
        <w:tabs>
          <w:tab w:val="left" w:pos="0"/>
        </w:tabs>
      </w:pPr>
    </w:p>
    <w:sectPr w:rsidR="001B4D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5439"/>
    <w:multiLevelType w:val="multilevel"/>
    <w:tmpl w:val="8E6C3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65994"/>
    <w:multiLevelType w:val="multilevel"/>
    <w:tmpl w:val="72522A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FD104CB"/>
    <w:multiLevelType w:val="multilevel"/>
    <w:tmpl w:val="30FE06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9"/>
    <w:rsid w:val="0008609F"/>
    <w:rsid w:val="001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63DB-A476-4140-95C7-7D88B2C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styleId="Numerstrony">
    <w:name w:val="page number"/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Jurewicz</dc:creator>
  <cp:lastModifiedBy>Małgorzata Greliak</cp:lastModifiedBy>
  <cp:revision>2</cp:revision>
  <dcterms:created xsi:type="dcterms:W3CDTF">2020-03-19T11:26:00Z</dcterms:created>
  <dcterms:modified xsi:type="dcterms:W3CDTF">2020-03-19T11:26:00Z</dcterms:modified>
</cp:coreProperties>
</file>